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CB1E">
      <w:pPr>
        <w:jc w:val="left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附件1：</w:t>
      </w:r>
    </w:p>
    <w:p w14:paraId="0501DE37">
      <w:pPr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8920FE5">
      <w:pPr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路灯维修报价表</w:t>
      </w:r>
    </w:p>
    <w:p w14:paraId="1FBEAA83">
      <w:pPr>
        <w:jc w:val="right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单位：元</w:t>
      </w:r>
    </w:p>
    <w:tbl>
      <w:tblPr>
        <w:tblStyle w:val="5"/>
        <w:tblpPr w:leftFromText="180" w:rightFromText="180" w:vertAnchor="text" w:horzAnchor="page" w:tblpXSpec="center" w:tblpY="148"/>
        <w:tblOverlap w:val="never"/>
        <w:tblW w:w="102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351"/>
        <w:gridCol w:w="2211"/>
        <w:gridCol w:w="853"/>
        <w:gridCol w:w="1026"/>
        <w:gridCol w:w="758"/>
        <w:gridCol w:w="1058"/>
        <w:gridCol w:w="1279"/>
      </w:tblGrid>
      <w:tr w14:paraId="12ED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40" w:type="dxa"/>
            <w:vAlign w:val="top"/>
          </w:tcPr>
          <w:p w14:paraId="6F5800C7">
            <w:pPr>
              <w:pStyle w:val="4"/>
              <w:spacing w:before="113" w:line="240" w:lineRule="auto"/>
              <w:jc w:val="center"/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351" w:type="dxa"/>
            <w:vAlign w:val="top"/>
          </w:tcPr>
          <w:p w14:paraId="61826B78">
            <w:pPr>
              <w:pStyle w:val="4"/>
              <w:spacing w:before="113" w:line="240" w:lineRule="auto"/>
              <w:jc w:val="center"/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211" w:type="dxa"/>
            <w:vAlign w:val="top"/>
          </w:tcPr>
          <w:p w14:paraId="50385F19">
            <w:pPr>
              <w:pStyle w:val="4"/>
              <w:spacing w:before="113" w:line="240" w:lineRule="auto"/>
              <w:jc w:val="center"/>
              <w:rPr>
                <w:rFonts w:hint="default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项目参数</w:t>
            </w:r>
          </w:p>
        </w:tc>
        <w:tc>
          <w:tcPr>
            <w:tcW w:w="853" w:type="dxa"/>
            <w:vAlign w:val="top"/>
          </w:tcPr>
          <w:p w14:paraId="56495B55">
            <w:pPr>
              <w:pStyle w:val="4"/>
              <w:spacing w:before="113" w:line="240" w:lineRule="auto"/>
              <w:jc w:val="center"/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026" w:type="dxa"/>
            <w:vAlign w:val="top"/>
          </w:tcPr>
          <w:p w14:paraId="6AAFD110">
            <w:pPr>
              <w:pStyle w:val="4"/>
              <w:spacing w:before="113" w:line="240" w:lineRule="auto"/>
              <w:jc w:val="center"/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工程量</w:t>
            </w:r>
          </w:p>
        </w:tc>
        <w:tc>
          <w:tcPr>
            <w:tcW w:w="758" w:type="dxa"/>
            <w:vAlign w:val="top"/>
          </w:tcPr>
          <w:p w14:paraId="04FBBCB9">
            <w:pPr>
              <w:pStyle w:val="4"/>
              <w:spacing w:before="113" w:line="240" w:lineRule="auto"/>
              <w:jc w:val="center"/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058" w:type="dxa"/>
            <w:vAlign w:val="top"/>
          </w:tcPr>
          <w:p w14:paraId="0A96CD5E">
            <w:pPr>
              <w:pStyle w:val="4"/>
              <w:spacing w:before="113" w:line="240" w:lineRule="auto"/>
              <w:jc w:val="center"/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总价</w:t>
            </w:r>
          </w:p>
        </w:tc>
        <w:tc>
          <w:tcPr>
            <w:tcW w:w="1279" w:type="dxa"/>
            <w:vAlign w:val="top"/>
          </w:tcPr>
          <w:p w14:paraId="48E566F4">
            <w:pPr>
              <w:pStyle w:val="4"/>
              <w:tabs>
                <w:tab w:val="left" w:pos="463"/>
              </w:tabs>
              <w:spacing w:before="113" w:line="240" w:lineRule="auto"/>
              <w:jc w:val="left"/>
              <w:rPr>
                <w:rFonts w:hint="default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供应商报价</w:t>
            </w:r>
          </w:p>
        </w:tc>
      </w:tr>
      <w:tr w14:paraId="41E61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40" w:type="dxa"/>
            <w:vAlign w:val="center"/>
          </w:tcPr>
          <w:p w14:paraId="61CFF67F">
            <w:pPr>
              <w:pStyle w:val="4"/>
              <w:spacing w:before="113" w:line="240" w:lineRule="auto"/>
              <w:ind w:left="294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51" w:type="dxa"/>
            <w:vAlign w:val="center"/>
          </w:tcPr>
          <w:p w14:paraId="1B9FA3D2">
            <w:pPr>
              <w:pStyle w:val="4"/>
              <w:spacing w:before="113"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更换4*3BVR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  <w:t>电缆</w:t>
            </w:r>
          </w:p>
        </w:tc>
        <w:tc>
          <w:tcPr>
            <w:tcW w:w="2211" w:type="dxa"/>
            <w:vAlign w:val="center"/>
          </w:tcPr>
          <w:p w14:paraId="6D886186">
            <w:pPr>
              <w:pStyle w:val="4"/>
              <w:spacing w:before="113"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品牌，国标，</w:t>
            </w:r>
          </w:p>
        </w:tc>
        <w:tc>
          <w:tcPr>
            <w:tcW w:w="853" w:type="dxa"/>
            <w:vAlign w:val="center"/>
          </w:tcPr>
          <w:p w14:paraId="7479591F">
            <w:pPr>
              <w:pStyle w:val="4"/>
              <w:spacing w:before="113" w:line="240" w:lineRule="auto"/>
              <w:ind w:left="277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1026" w:type="dxa"/>
            <w:vAlign w:val="center"/>
          </w:tcPr>
          <w:p w14:paraId="08277E74">
            <w:pPr>
              <w:pStyle w:val="4"/>
              <w:spacing w:before="113" w:line="240" w:lineRule="auto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  <w:t>600</w:t>
            </w:r>
          </w:p>
        </w:tc>
        <w:tc>
          <w:tcPr>
            <w:tcW w:w="758" w:type="dxa"/>
            <w:vAlign w:val="center"/>
          </w:tcPr>
          <w:p w14:paraId="45F05CD7">
            <w:pPr>
              <w:pStyle w:val="4"/>
              <w:spacing w:before="113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position w:val="1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1058" w:type="dxa"/>
            <w:vAlign w:val="center"/>
          </w:tcPr>
          <w:p w14:paraId="1B6C045F">
            <w:pPr>
              <w:pStyle w:val="4"/>
              <w:spacing w:before="113" w:line="240" w:lineRule="auto"/>
              <w:ind w:left="299"/>
              <w:jc w:val="both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  <w:t>33000</w:t>
            </w:r>
          </w:p>
        </w:tc>
        <w:tc>
          <w:tcPr>
            <w:tcW w:w="1279" w:type="dxa"/>
            <w:vAlign w:val="center"/>
          </w:tcPr>
          <w:p w14:paraId="010F4633">
            <w:pPr>
              <w:pStyle w:val="4"/>
              <w:spacing w:before="113" w:line="240" w:lineRule="auto"/>
              <w:ind w:left="299"/>
              <w:jc w:val="both"/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221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0" w:type="dxa"/>
            <w:vAlign w:val="center"/>
          </w:tcPr>
          <w:p w14:paraId="003D6C64">
            <w:pPr>
              <w:pStyle w:val="4"/>
              <w:spacing w:before="131" w:line="240" w:lineRule="auto"/>
              <w:ind w:left="281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51" w:type="dxa"/>
            <w:vAlign w:val="center"/>
          </w:tcPr>
          <w:p w14:paraId="220054E0">
            <w:pPr>
              <w:pStyle w:val="4"/>
              <w:spacing w:before="130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pacing w:val="5"/>
                <w:sz w:val="24"/>
                <w:szCs w:val="24"/>
                <w:highlight w:val="none"/>
              </w:rPr>
              <w:t>32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PE</w:t>
            </w:r>
            <w:r>
              <w:rPr>
                <w:color w:val="auto"/>
                <w:spacing w:val="5"/>
                <w:sz w:val="24"/>
                <w:szCs w:val="24"/>
                <w:highlight w:val="none"/>
              </w:rPr>
              <w:t>线管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含配件）</w:t>
            </w:r>
          </w:p>
        </w:tc>
        <w:tc>
          <w:tcPr>
            <w:tcW w:w="2211" w:type="dxa"/>
            <w:vAlign w:val="center"/>
          </w:tcPr>
          <w:p w14:paraId="45EC5637">
            <w:pPr>
              <w:pStyle w:val="4"/>
              <w:spacing w:before="130"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853" w:type="dxa"/>
            <w:vAlign w:val="center"/>
          </w:tcPr>
          <w:p w14:paraId="1CD3638A">
            <w:pPr>
              <w:pStyle w:val="4"/>
              <w:spacing w:before="131" w:line="240" w:lineRule="auto"/>
              <w:ind w:left="277"/>
              <w:jc w:val="both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米</w:t>
            </w:r>
          </w:p>
        </w:tc>
        <w:tc>
          <w:tcPr>
            <w:tcW w:w="1026" w:type="dxa"/>
            <w:vAlign w:val="center"/>
          </w:tcPr>
          <w:p w14:paraId="665A5AD8">
            <w:pPr>
              <w:pStyle w:val="4"/>
              <w:spacing w:before="131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position w:val="1"/>
                <w:sz w:val="24"/>
                <w:szCs w:val="24"/>
                <w:highlight w:val="none"/>
                <w:lang w:val="en-US" w:eastAsia="zh-CN"/>
              </w:rPr>
              <w:t>600</w:t>
            </w:r>
          </w:p>
        </w:tc>
        <w:tc>
          <w:tcPr>
            <w:tcW w:w="758" w:type="dxa"/>
            <w:vAlign w:val="center"/>
          </w:tcPr>
          <w:p w14:paraId="7DBDF36B">
            <w:pPr>
              <w:pStyle w:val="4"/>
              <w:spacing w:before="131"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58" w:type="dxa"/>
            <w:vAlign w:val="center"/>
          </w:tcPr>
          <w:p w14:paraId="63976BA9">
            <w:pPr>
              <w:pStyle w:val="4"/>
              <w:spacing w:before="131" w:line="240" w:lineRule="auto"/>
              <w:ind w:left="258"/>
              <w:jc w:val="both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  <w:t>2400</w:t>
            </w:r>
          </w:p>
        </w:tc>
        <w:tc>
          <w:tcPr>
            <w:tcW w:w="1279" w:type="dxa"/>
            <w:vAlign w:val="center"/>
          </w:tcPr>
          <w:p w14:paraId="1CF319EB">
            <w:pPr>
              <w:pStyle w:val="4"/>
              <w:spacing w:before="131" w:line="240" w:lineRule="auto"/>
              <w:ind w:left="258"/>
              <w:jc w:val="both"/>
              <w:rPr>
                <w:rFonts w:hint="eastAsia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57E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40" w:type="dxa"/>
            <w:vAlign w:val="center"/>
          </w:tcPr>
          <w:p w14:paraId="7C442F38">
            <w:pPr>
              <w:pStyle w:val="4"/>
              <w:spacing w:before="135" w:line="240" w:lineRule="auto"/>
              <w:ind w:left="283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51" w:type="dxa"/>
            <w:vAlign w:val="center"/>
          </w:tcPr>
          <w:p w14:paraId="48E23E44">
            <w:pPr>
              <w:pStyle w:val="4"/>
              <w:spacing w:before="136"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地面开挖及恢复</w:t>
            </w:r>
          </w:p>
        </w:tc>
        <w:tc>
          <w:tcPr>
            <w:tcW w:w="2211" w:type="dxa"/>
            <w:vAlign w:val="center"/>
          </w:tcPr>
          <w:p w14:paraId="5A94909F">
            <w:pPr>
              <w:pStyle w:val="4"/>
              <w:spacing w:before="135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草皮、透水砖、水泥道路上，平均价</w:t>
            </w:r>
          </w:p>
        </w:tc>
        <w:tc>
          <w:tcPr>
            <w:tcW w:w="853" w:type="dxa"/>
            <w:vAlign w:val="center"/>
          </w:tcPr>
          <w:p w14:paraId="108CAD0E">
            <w:pPr>
              <w:pStyle w:val="4"/>
              <w:spacing w:before="136" w:line="240" w:lineRule="auto"/>
              <w:ind w:left="281"/>
              <w:jc w:val="both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米</w:t>
            </w:r>
          </w:p>
        </w:tc>
        <w:tc>
          <w:tcPr>
            <w:tcW w:w="1026" w:type="dxa"/>
            <w:vAlign w:val="center"/>
          </w:tcPr>
          <w:p w14:paraId="0B711D3A">
            <w:pPr>
              <w:pStyle w:val="4"/>
              <w:spacing w:before="135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758" w:type="dxa"/>
            <w:vAlign w:val="center"/>
          </w:tcPr>
          <w:p w14:paraId="1299BC58">
            <w:pPr>
              <w:pStyle w:val="4"/>
              <w:spacing w:before="135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58" w:type="dxa"/>
            <w:vAlign w:val="center"/>
          </w:tcPr>
          <w:p w14:paraId="5E44308D">
            <w:pPr>
              <w:pStyle w:val="4"/>
              <w:spacing w:before="135" w:line="240" w:lineRule="auto"/>
              <w:ind w:left="311"/>
              <w:jc w:val="both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15000</w:t>
            </w:r>
          </w:p>
        </w:tc>
        <w:tc>
          <w:tcPr>
            <w:tcW w:w="1279" w:type="dxa"/>
            <w:vAlign w:val="center"/>
          </w:tcPr>
          <w:p w14:paraId="34767B13">
            <w:pPr>
              <w:pStyle w:val="4"/>
              <w:spacing w:before="135" w:line="240" w:lineRule="auto"/>
              <w:ind w:left="311"/>
              <w:jc w:val="both"/>
              <w:rPr>
                <w:rFonts w:hint="eastAsia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F1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40" w:type="dxa"/>
            <w:vAlign w:val="center"/>
          </w:tcPr>
          <w:p w14:paraId="33BD40F8">
            <w:pPr>
              <w:pStyle w:val="4"/>
              <w:spacing w:before="119" w:line="240" w:lineRule="auto"/>
              <w:ind w:left="278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51" w:type="dxa"/>
            <w:vAlign w:val="center"/>
          </w:tcPr>
          <w:p w14:paraId="13800070">
            <w:pPr>
              <w:pStyle w:val="4"/>
              <w:spacing w:before="113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更换72W以上,LED路灯灯头</w:t>
            </w:r>
          </w:p>
        </w:tc>
        <w:tc>
          <w:tcPr>
            <w:tcW w:w="2211" w:type="dxa"/>
            <w:vAlign w:val="center"/>
          </w:tcPr>
          <w:p w14:paraId="648A77F7">
            <w:pPr>
              <w:pStyle w:val="4"/>
              <w:spacing w:before="118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详见甲方提供参考图片</w:t>
            </w:r>
          </w:p>
        </w:tc>
        <w:tc>
          <w:tcPr>
            <w:tcW w:w="853" w:type="dxa"/>
            <w:vAlign w:val="center"/>
          </w:tcPr>
          <w:p w14:paraId="51235DC0">
            <w:pPr>
              <w:pStyle w:val="4"/>
              <w:spacing w:before="119" w:line="240" w:lineRule="auto"/>
              <w:ind w:left="278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盏</w:t>
            </w:r>
          </w:p>
        </w:tc>
        <w:tc>
          <w:tcPr>
            <w:tcW w:w="1026" w:type="dxa"/>
            <w:vAlign w:val="center"/>
          </w:tcPr>
          <w:p w14:paraId="0503CE4E">
            <w:pPr>
              <w:pStyle w:val="4"/>
              <w:spacing w:before="119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position w:val="1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758" w:type="dxa"/>
            <w:vAlign w:val="center"/>
          </w:tcPr>
          <w:p w14:paraId="56A38907">
            <w:pPr>
              <w:pStyle w:val="4"/>
              <w:spacing w:before="119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  <w:t>380</w:t>
            </w:r>
          </w:p>
        </w:tc>
        <w:tc>
          <w:tcPr>
            <w:tcW w:w="1058" w:type="dxa"/>
            <w:vAlign w:val="center"/>
          </w:tcPr>
          <w:p w14:paraId="18967E27">
            <w:pPr>
              <w:pStyle w:val="4"/>
              <w:spacing w:before="119" w:line="240" w:lineRule="auto"/>
              <w:ind w:left="298"/>
              <w:jc w:val="both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  <w:t>25080</w:t>
            </w:r>
          </w:p>
        </w:tc>
        <w:tc>
          <w:tcPr>
            <w:tcW w:w="1279" w:type="dxa"/>
            <w:vAlign w:val="center"/>
          </w:tcPr>
          <w:p w14:paraId="5C4B1E7A">
            <w:pPr>
              <w:pStyle w:val="4"/>
              <w:spacing w:before="119" w:line="240" w:lineRule="auto"/>
              <w:ind w:left="298"/>
              <w:jc w:val="both"/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149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40" w:type="dxa"/>
            <w:vAlign w:val="center"/>
          </w:tcPr>
          <w:p w14:paraId="088D6198">
            <w:pPr>
              <w:pStyle w:val="4"/>
              <w:spacing w:before="120" w:line="240" w:lineRule="auto"/>
              <w:ind w:left="283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51" w:type="dxa"/>
            <w:vAlign w:val="center"/>
          </w:tcPr>
          <w:p w14:paraId="14AF3D68">
            <w:pPr>
              <w:pStyle w:val="4"/>
              <w:spacing w:before="121"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200W投屏</w:t>
            </w:r>
            <w:r>
              <w:rPr>
                <w:color w:val="auto"/>
                <w:spacing w:val="6"/>
                <w:sz w:val="24"/>
                <w:szCs w:val="24"/>
                <w:highlight w:val="none"/>
              </w:rPr>
              <w:t>灯</w:t>
            </w:r>
          </w:p>
        </w:tc>
        <w:tc>
          <w:tcPr>
            <w:tcW w:w="2211" w:type="dxa"/>
            <w:vAlign w:val="center"/>
          </w:tcPr>
          <w:p w14:paraId="1B702F73">
            <w:pPr>
              <w:pStyle w:val="4"/>
              <w:spacing w:before="120"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篮球</w:t>
            </w:r>
            <w:r>
              <w:rPr>
                <w:color w:val="auto"/>
                <w:spacing w:val="5"/>
                <w:sz w:val="24"/>
                <w:szCs w:val="24"/>
                <w:highlight w:val="none"/>
              </w:rPr>
              <w:t>操场</w:t>
            </w:r>
          </w:p>
        </w:tc>
        <w:tc>
          <w:tcPr>
            <w:tcW w:w="853" w:type="dxa"/>
            <w:vAlign w:val="center"/>
          </w:tcPr>
          <w:p w14:paraId="303D1037">
            <w:pPr>
              <w:pStyle w:val="4"/>
              <w:spacing w:before="121" w:line="240" w:lineRule="auto"/>
              <w:ind w:left="278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盏</w:t>
            </w:r>
          </w:p>
        </w:tc>
        <w:tc>
          <w:tcPr>
            <w:tcW w:w="1026" w:type="dxa"/>
            <w:vAlign w:val="center"/>
          </w:tcPr>
          <w:p w14:paraId="59683B02">
            <w:pPr>
              <w:pStyle w:val="4"/>
              <w:spacing w:before="120" w:line="24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58" w:type="dxa"/>
            <w:vAlign w:val="center"/>
          </w:tcPr>
          <w:p w14:paraId="41D8EACF">
            <w:pPr>
              <w:pStyle w:val="4"/>
              <w:spacing w:before="120" w:line="240" w:lineRule="auto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  <w:t>380</w:t>
            </w:r>
          </w:p>
        </w:tc>
        <w:tc>
          <w:tcPr>
            <w:tcW w:w="1058" w:type="dxa"/>
            <w:vAlign w:val="center"/>
          </w:tcPr>
          <w:p w14:paraId="1FDCB691">
            <w:pPr>
              <w:pStyle w:val="4"/>
              <w:spacing w:before="120" w:line="240" w:lineRule="auto"/>
              <w:ind w:left="351"/>
              <w:jc w:val="both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  <w:t>1900</w:t>
            </w:r>
          </w:p>
        </w:tc>
        <w:tc>
          <w:tcPr>
            <w:tcW w:w="1279" w:type="dxa"/>
            <w:vAlign w:val="center"/>
          </w:tcPr>
          <w:p w14:paraId="43BC20E6">
            <w:pPr>
              <w:pStyle w:val="4"/>
              <w:spacing w:before="120" w:line="240" w:lineRule="auto"/>
              <w:ind w:left="351"/>
              <w:jc w:val="both"/>
              <w:rPr>
                <w:rFonts w:hint="eastAsia"/>
                <w:color w:val="auto"/>
                <w:spacing w:val="2"/>
                <w:position w:val="1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BE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9" w:type="dxa"/>
            <w:gridSpan w:val="6"/>
            <w:vAlign w:val="center"/>
          </w:tcPr>
          <w:p w14:paraId="6D0996E5">
            <w:pPr>
              <w:pStyle w:val="4"/>
              <w:spacing w:before="113" w:line="240" w:lineRule="auto"/>
              <w:jc w:val="center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1058" w:type="dxa"/>
            <w:vAlign w:val="center"/>
          </w:tcPr>
          <w:p w14:paraId="5314BACA">
            <w:pPr>
              <w:pStyle w:val="4"/>
              <w:spacing w:before="120" w:line="240" w:lineRule="auto"/>
              <w:ind w:left="351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77380</w:t>
            </w:r>
          </w:p>
        </w:tc>
        <w:tc>
          <w:tcPr>
            <w:tcW w:w="1279" w:type="dxa"/>
            <w:vAlign w:val="center"/>
          </w:tcPr>
          <w:p w14:paraId="16AB2C86">
            <w:pPr>
              <w:pStyle w:val="4"/>
              <w:spacing w:before="120" w:line="240" w:lineRule="auto"/>
              <w:ind w:left="351"/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1EE65F1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7A201D11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122DBAE4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77DC1F7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568D73E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64B98F35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0A6073EA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622968C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4553D852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09FFD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10F36651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190</Characters>
  <Lines>0</Lines>
  <Paragraphs>0</Paragraphs>
  <TotalTime>2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9341CE2F25504AD3A48E31FFD323AD84_13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